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39" w:rsidRDefault="00A83D39" w:rsidP="00A83D39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00A03"/>
          <w:kern w:val="36"/>
          <w:sz w:val="36"/>
          <w:szCs w:val="36"/>
          <w:lang w:val="en-US"/>
        </w:rPr>
      </w:pPr>
      <w:r>
        <w:rPr>
          <w:rFonts w:ascii="Arial" w:eastAsia="Times New Roman" w:hAnsi="Arial" w:cs="Arial"/>
          <w:color w:val="200A03"/>
          <w:kern w:val="36"/>
          <w:sz w:val="36"/>
          <w:szCs w:val="36"/>
          <w:lang w:val="en-US"/>
        </w:rPr>
        <w:t xml:space="preserve">                          </w:t>
      </w:r>
    </w:p>
    <w:p w:rsidR="00A83D39" w:rsidRPr="00A83D39" w:rsidRDefault="00A83D39" w:rsidP="00A83D39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00A03"/>
          <w:kern w:val="36"/>
          <w:sz w:val="36"/>
          <w:szCs w:val="36"/>
          <w:lang w:val="en-US"/>
        </w:rPr>
      </w:pPr>
      <w:r>
        <w:rPr>
          <w:rFonts w:ascii="Arial" w:eastAsia="Times New Roman" w:hAnsi="Arial" w:cs="Arial"/>
          <w:color w:val="200A03"/>
          <w:kern w:val="36"/>
          <w:sz w:val="36"/>
          <w:szCs w:val="36"/>
          <w:lang w:val="en-US"/>
        </w:rPr>
        <w:t xml:space="preserve">                                </w:t>
      </w:r>
      <w:r w:rsidRPr="00A83D39">
        <w:rPr>
          <w:rFonts w:ascii="Arial" w:eastAsia="Times New Roman" w:hAnsi="Arial" w:cs="Arial"/>
          <w:color w:val="200A03"/>
          <w:kern w:val="36"/>
          <w:sz w:val="36"/>
          <w:szCs w:val="36"/>
        </w:rPr>
        <w:t xml:space="preserve">Алгоритм </w:t>
      </w:r>
      <w:proofErr w:type="spellStart"/>
      <w:r w:rsidRPr="00A83D39">
        <w:rPr>
          <w:rFonts w:ascii="Arial" w:eastAsia="Times New Roman" w:hAnsi="Arial" w:cs="Arial"/>
          <w:color w:val="200A03"/>
          <w:kern w:val="36"/>
          <w:sz w:val="36"/>
          <w:szCs w:val="36"/>
        </w:rPr>
        <w:t>дій</w:t>
      </w:r>
      <w:proofErr w:type="spellEnd"/>
      <w:r w:rsidRPr="00A83D39">
        <w:rPr>
          <w:rFonts w:ascii="Arial" w:eastAsia="Times New Roman" w:hAnsi="Arial" w:cs="Arial"/>
          <w:color w:val="200A03"/>
          <w:kern w:val="36"/>
          <w:sz w:val="36"/>
          <w:szCs w:val="36"/>
        </w:rPr>
        <w:t xml:space="preserve"> при </w:t>
      </w:r>
      <w:proofErr w:type="spellStart"/>
      <w:r w:rsidRPr="00A83D39">
        <w:rPr>
          <w:rFonts w:ascii="Arial" w:eastAsia="Times New Roman" w:hAnsi="Arial" w:cs="Arial"/>
          <w:color w:val="200A03"/>
          <w:kern w:val="36"/>
          <w:sz w:val="36"/>
          <w:szCs w:val="36"/>
        </w:rPr>
        <w:t>виявленні</w:t>
      </w:r>
      <w:proofErr w:type="spellEnd"/>
      <w:r w:rsidRPr="00A83D39">
        <w:rPr>
          <w:rFonts w:ascii="Arial" w:eastAsia="Times New Roman" w:hAnsi="Arial" w:cs="Arial"/>
          <w:color w:val="200A03"/>
          <w:kern w:val="36"/>
          <w:sz w:val="36"/>
          <w:szCs w:val="36"/>
        </w:rPr>
        <w:t xml:space="preserve"> </w:t>
      </w:r>
      <w:proofErr w:type="spellStart"/>
      <w:proofErr w:type="gramStart"/>
      <w:r w:rsidRPr="00A83D39">
        <w:rPr>
          <w:rFonts w:ascii="Arial" w:eastAsia="Times New Roman" w:hAnsi="Arial" w:cs="Arial"/>
          <w:color w:val="200A03"/>
          <w:kern w:val="36"/>
          <w:sz w:val="36"/>
          <w:szCs w:val="36"/>
        </w:rPr>
        <w:t>бул</w:t>
      </w:r>
      <w:proofErr w:type="gramEnd"/>
      <w:r w:rsidRPr="00A83D39">
        <w:rPr>
          <w:rFonts w:ascii="Arial" w:eastAsia="Times New Roman" w:hAnsi="Arial" w:cs="Arial"/>
          <w:color w:val="200A03"/>
          <w:kern w:val="36"/>
          <w:sz w:val="36"/>
          <w:szCs w:val="36"/>
        </w:rPr>
        <w:t>інгу</w:t>
      </w:r>
      <w:proofErr w:type="spellEnd"/>
    </w:p>
    <w:p w:rsidR="00A83D39" w:rsidRPr="00A83D39" w:rsidRDefault="00A83D39" w:rsidP="00A83D39">
      <w:pPr>
        <w:shd w:val="clear" w:color="auto" w:fill="FFFFFF" w:themeFill="background1"/>
        <w:spacing w:after="0" w:line="309" w:lineRule="atLeast"/>
        <w:ind w:left="720" w:right="-514"/>
        <w:rPr>
          <w:rFonts w:ascii="Arial" w:eastAsia="Times New Roman" w:hAnsi="Arial" w:cs="Arial"/>
          <w:color w:val="181818"/>
        </w:rPr>
      </w:pPr>
      <w:r>
        <w:rPr>
          <w:rFonts w:ascii="Arial" w:eastAsia="Times New Roman" w:hAnsi="Arial" w:cs="Arial"/>
          <w:noProof/>
          <w:color w:val="181818"/>
        </w:rPr>
        <w:drawing>
          <wp:inline distT="0" distB="0" distL="0" distR="0">
            <wp:extent cx="2645410" cy="1589405"/>
            <wp:effectExtent l="19050" t="0" r="2540" b="0"/>
            <wp:docPr id="2" name="Рисунок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58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39" w:rsidRPr="00A83D39" w:rsidRDefault="00A83D39" w:rsidP="00A83D39">
      <w:pPr>
        <w:shd w:val="clear" w:color="auto" w:fill="FFFFFF" w:themeFill="background1"/>
        <w:spacing w:before="100" w:beforeAutospacing="1" w:after="100" w:afterAutospacing="1" w:line="309" w:lineRule="atLeast"/>
        <w:ind w:left="720" w:right="-514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A83D3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Алгоритм </w:t>
      </w:r>
      <w:proofErr w:type="spellStart"/>
      <w:r w:rsidRPr="00A83D3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дій</w:t>
      </w:r>
      <w:proofErr w:type="spellEnd"/>
      <w:r w:rsidRPr="00A83D3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при </w:t>
      </w:r>
      <w:proofErr w:type="spellStart"/>
      <w:r w:rsidRPr="00A83D3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виявленні</w:t>
      </w:r>
      <w:proofErr w:type="spellEnd"/>
      <w:r w:rsidRPr="00A83D3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бул</w:t>
      </w:r>
      <w:proofErr w:type="gramEnd"/>
      <w:r w:rsidRPr="00A83D3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інгу</w:t>
      </w:r>
      <w:proofErr w:type="spellEnd"/>
    </w:p>
    <w:p w:rsidR="00A83D39" w:rsidRPr="00A83D39" w:rsidRDefault="00A83D39" w:rsidP="00A83D3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09" w:lineRule="atLeast"/>
        <w:ind w:left="1440" w:right="-51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Повідомлення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про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булінг</w:t>
      </w:r>
      <w:proofErr w:type="gram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те,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що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відбулося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чи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відбувається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)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цькування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може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знати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чимало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осіб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саме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учні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батьки,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вчителі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працівники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навчального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закладу.</w:t>
      </w:r>
    </w:p>
    <w:p w:rsidR="00A83D39" w:rsidRPr="00A83D39" w:rsidRDefault="00A83D39" w:rsidP="00A83D39">
      <w:pPr>
        <w:shd w:val="clear" w:color="auto" w:fill="FFFFFF" w:themeFill="background1"/>
        <w:spacing w:before="100" w:beforeAutospacing="1" w:after="100" w:afterAutospacing="1" w:line="309" w:lineRule="atLeast"/>
        <w:ind w:left="720" w:right="-51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Усі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вони, 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також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безпосередні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жертви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бул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інгу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повинні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повідомити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керівника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навчального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закладу. Батьки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школярів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можуть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подати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йому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заяву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бул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інг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щодо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будь-якого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члена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шкільного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колективу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навівши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обґрунтовані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докази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У той же час вони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мають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допомагати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керівництву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ід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час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розслідування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також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виконувати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рішення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рекомендації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комісії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розгляду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випадків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цькування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83D39" w:rsidRPr="00A83D39" w:rsidRDefault="00A83D39" w:rsidP="00A83D39">
      <w:pPr>
        <w:shd w:val="clear" w:color="auto" w:fill="FFFFFF" w:themeFill="background1"/>
        <w:spacing w:before="100" w:beforeAutospacing="1" w:after="100" w:afterAutospacing="1" w:line="309" w:lineRule="atLeast"/>
        <w:ind w:left="720" w:right="-51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Працівники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 педагоги,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які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стали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св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ідками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булінгу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зобов’язані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розказати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керівнику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навчального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закладу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чи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подати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йому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письмову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заяву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необхідно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робити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навіть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тоді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коли жертва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цькування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сама не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повідомляла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ї</w:t>
      </w:r>
      <w:proofErr w:type="gram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х</w:t>
      </w:r>
      <w:proofErr w:type="spellEnd"/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Крім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того, педагоги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зобов’язані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вживати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невідкладних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заходів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для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припинення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будь-яких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проявів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бул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інгу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83D39" w:rsidRPr="00A83D39" w:rsidRDefault="00A83D39" w:rsidP="00A83D3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09" w:lineRule="atLeast"/>
        <w:ind w:left="1440" w:right="-51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Розслідування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фактів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керівником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навчального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закладу.</w:t>
      </w:r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Отримавши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інформацію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чи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заяву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бул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інг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керівник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навчального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закладу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має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розглянути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її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з’ясувати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всі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обставини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Якщо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факт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цькування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ідтвердився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він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повинен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скликати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спеціальну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комісію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яка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розглядатиме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результати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розслідування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встановлюватиме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факт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булінгу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Якщо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керівник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відреагує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звернення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цькування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потрібно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звернутися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засновника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закладу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освіти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83D39" w:rsidRPr="00A83D39" w:rsidRDefault="00A83D39" w:rsidP="00A83D39">
      <w:pPr>
        <w:shd w:val="clear" w:color="auto" w:fill="FFFFFF" w:themeFill="background1"/>
        <w:spacing w:before="100" w:beforeAutospacing="1" w:after="100" w:afterAutospacing="1" w:line="309" w:lineRule="atLeast"/>
        <w:ind w:left="720" w:right="-51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Якщо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звернення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було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аргументованим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керівник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відреагував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то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він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понесе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визначену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законом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адміністративну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відповідальність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Також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керівник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закладу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освіти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відповідає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надання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соц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іальних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психологічних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педагогічних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послуг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особам,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які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вчиняли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цькування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стали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його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жертвами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чи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свідками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83D39" w:rsidRPr="00A83D39" w:rsidRDefault="00A83D39" w:rsidP="00A83D3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09" w:lineRule="atLeast"/>
        <w:ind w:left="1440" w:right="-51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Створення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комісії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розгляду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випадків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булінгу</w:t>
      </w:r>
      <w:proofErr w:type="gram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Д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її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складу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можуть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входити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вчителі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батьки,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соціальний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педагог та психолог, батьки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ймовірних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жертви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цькування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булера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дирекція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тощо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Комісія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має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детально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розглянути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наявні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факти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визначитись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був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бул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інг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чи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одноразовий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конфлікт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Якщо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бул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інг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буде доведено,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керівник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навчального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закладу повинен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звернутися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відповідним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повідомленням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уповноважених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органів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Національної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поліції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України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Служби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 справах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дітей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83D39" w:rsidRPr="00A83D39" w:rsidRDefault="00A83D39" w:rsidP="00A83D39">
      <w:pPr>
        <w:shd w:val="clear" w:color="auto" w:fill="FFFFFF" w:themeFill="background1"/>
        <w:spacing w:before="100" w:beforeAutospacing="1" w:after="100" w:afterAutospacing="1" w:line="309" w:lineRule="atLeast"/>
        <w:ind w:left="720" w:right="-51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Якщо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ж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комісія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вирішила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що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факту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цькування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було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заявники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можуть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погодитися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цим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ішенням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повідомити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уповноважені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самостійно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маючи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обґрунтовані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докази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A83D39" w:rsidRPr="00A83D39" w:rsidRDefault="00A83D39" w:rsidP="00A83D3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09" w:lineRule="atLeast"/>
        <w:ind w:left="1440" w:right="-51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Звернення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до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уповноважених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органів</w:t>
      </w:r>
      <w:proofErr w:type="gram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аме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 них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має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звернутися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керівник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засновник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навчального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закладу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чи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самі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заявники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(про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що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писалося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вище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) для фактичного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розгляду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випадку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цькування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Представники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правоохоронних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органів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мають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провести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фахове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розслідування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цієї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справи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скласти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протокол про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адміністративне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правопорушення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83D39" w:rsidRPr="00A83D39" w:rsidRDefault="00A83D39" w:rsidP="00A83D3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09" w:lineRule="atLeast"/>
        <w:ind w:left="1440" w:right="-51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Розгляд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справи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у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суді.</w:t>
      </w:r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Лише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суд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може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прийняти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ішення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стягнення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штрафу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булера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його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батьків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чи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осіб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які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їх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замінюють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83D39" w:rsidRPr="00A83D39" w:rsidRDefault="00A83D39" w:rsidP="00A83D3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09" w:lineRule="atLeast"/>
        <w:ind w:left="1440" w:right="-51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Діяльність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освітнього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омбудсмена. 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Саме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він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має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розглядати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заяви про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випадки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бул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інгу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забезпечувати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рівноправність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своєчасність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реагування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них. Особливо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стосується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ситуацій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коли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цькування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здійснюється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вчителями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педагогічними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колективами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керівниками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засновниками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навчальних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закладів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Також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освітній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омбудсмен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має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контролювати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якість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надання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соц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іальної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педагогічної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психологічної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допомоги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яка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надається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жертвам,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свідкам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ініціаторам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цькування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83D39" w:rsidRPr="00A83D39" w:rsidRDefault="00A83D39" w:rsidP="00A83D39">
      <w:pPr>
        <w:shd w:val="clear" w:color="auto" w:fill="FFFFFF" w:themeFill="background1"/>
        <w:spacing w:before="100" w:beforeAutospacing="1" w:after="100" w:afterAutospacing="1" w:line="309" w:lineRule="atLeast"/>
        <w:ind w:left="720" w:right="-51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 Закон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також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передбачає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низку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штрафі</w:t>
      </w:r>
      <w:proofErr w:type="gram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</w:t>
      </w:r>
      <w:proofErr w:type="spellEnd"/>
      <w:proofErr w:type="gram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за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цькування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:rsidR="00A83D39" w:rsidRPr="00A83D39" w:rsidRDefault="00A83D39" w:rsidP="00A83D39">
      <w:pPr>
        <w:shd w:val="clear" w:color="auto" w:fill="FFFFFF" w:themeFill="background1"/>
        <w:spacing w:before="100" w:beforeAutospacing="1" w:after="100" w:afterAutospacing="1" w:line="309" w:lineRule="atLeast"/>
        <w:ind w:left="720" w:right="-51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Штрафи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бул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інг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становитимуть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від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50 до 100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неоподатковуваних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мінімумів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тобто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від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850 до 1700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гривень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або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від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20 до 40 годин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громадських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робіт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83D39" w:rsidRPr="00A83D39" w:rsidRDefault="00A83D39" w:rsidP="00A83D39">
      <w:pPr>
        <w:shd w:val="clear" w:color="auto" w:fill="FFFFFF" w:themeFill="background1"/>
        <w:spacing w:before="100" w:beforeAutospacing="1" w:after="100" w:afterAutospacing="1" w:line="309" w:lineRule="atLeast"/>
        <w:ind w:left="720" w:right="-51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Якщо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бул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інг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вчинено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групою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осіб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або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повторно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протягом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року 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після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накладення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адміністративного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стягнення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штраф буде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більшим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—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від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100 до 200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мінімумів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(1700 – 3400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гривень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) 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або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громадські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роботи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строк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від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40 до 60 годин.</w:t>
      </w:r>
    </w:p>
    <w:p w:rsidR="00A83D39" w:rsidRPr="00A83D39" w:rsidRDefault="00A83D39" w:rsidP="00A83D39">
      <w:pPr>
        <w:shd w:val="clear" w:color="auto" w:fill="FFFFFF" w:themeFill="background1"/>
        <w:spacing w:before="100" w:beforeAutospacing="1" w:after="100" w:afterAutospacing="1" w:line="309" w:lineRule="atLeast"/>
        <w:ind w:left="720" w:right="-51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Неповідомлення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керівником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закладу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освіти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уповноваженим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ідрозділам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органів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Національної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поліції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України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випадки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булінгу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учасника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освітнього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процесу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тягне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 собою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накладення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штрафу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від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50 до 100 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неоподатковуваних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мінімумів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доходів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громадян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або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виправні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роботи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строк до 1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місяця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відрахуванням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 20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відсотків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заробітку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83D39" w:rsidRPr="00A83D39" w:rsidRDefault="00A83D39" w:rsidP="00A83D39">
      <w:pPr>
        <w:shd w:val="clear" w:color="auto" w:fill="FFFFFF" w:themeFill="background1"/>
        <w:spacing w:before="100" w:beforeAutospacing="1" w:after="100" w:afterAutospacing="1" w:line="309" w:lineRule="atLeast"/>
        <w:ind w:left="720" w:right="-51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Корисна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інформація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для тих,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хто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страждає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від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бул</w:t>
      </w:r>
      <w:proofErr w:type="gram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інгу</w:t>
      </w:r>
      <w:proofErr w:type="spellEnd"/>
    </w:p>
    <w:p w:rsidR="00A83D39" w:rsidRPr="00A83D39" w:rsidRDefault="00A83D39" w:rsidP="00A83D39">
      <w:pPr>
        <w:shd w:val="clear" w:color="auto" w:fill="FFFFFF" w:themeFill="background1"/>
        <w:spacing w:before="100" w:beforeAutospacing="1" w:after="100" w:afterAutospacing="1" w:line="309" w:lineRule="atLeast"/>
        <w:ind w:left="720" w:right="-51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Дитина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яка стала жертвою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чи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св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ідком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цькування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може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розказати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батькам (особам,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які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їх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замінюють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), педагогам,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шкільному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психологу та директору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Учитель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чи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інший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працівник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навчального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закладу,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який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постраждав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від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цькування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також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може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звернутися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колег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керівника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навчального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закладу,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освітнього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омбудсмена та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уповноважених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органів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Крім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того,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вс</w:t>
      </w:r>
      <w:proofErr w:type="gram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особи,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які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стали жертвами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чи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свідками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булінгу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можуть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звернутися</w:t>
      </w:r>
      <w:proofErr w:type="spellEnd"/>
      <w:r w:rsidRPr="00A83D39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A83D39" w:rsidRPr="00A83D39" w:rsidRDefault="00A83D39" w:rsidP="00A83D39">
      <w:pPr>
        <w:shd w:val="clear" w:color="auto" w:fill="FFFFFF" w:themeFill="background1"/>
        <w:spacing w:before="100" w:beforeAutospacing="1" w:after="100" w:afterAutospacing="1" w:line="309" w:lineRule="atLeast"/>
        <w:ind w:left="720" w:right="-51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на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гарячу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лінію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ГО «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Ла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Страда –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Україна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» </w:t>
      </w:r>
      <w:proofErr w:type="gram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( </w:t>
      </w:r>
      <w:proofErr w:type="gram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за номером 0 800 500 225 – для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стаціонарного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телефону, 116 111 – для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мобільного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);</w:t>
      </w:r>
    </w:p>
    <w:p w:rsidR="00A83D39" w:rsidRPr="00A83D39" w:rsidRDefault="00A83D39" w:rsidP="00A83D39">
      <w:pPr>
        <w:shd w:val="clear" w:color="auto" w:fill="FFFFFF" w:themeFill="background1"/>
        <w:spacing w:before="100" w:beforeAutospacing="1" w:after="100" w:afterAutospacing="1" w:line="309" w:lineRule="atLeast"/>
        <w:ind w:left="720" w:right="-51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до Центру </w:t>
      </w:r>
      <w:proofErr w:type="spellStart"/>
      <w:proofErr w:type="gram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соц</w:t>
      </w:r>
      <w:proofErr w:type="gram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іальної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служби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питань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сім’ї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,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дітей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та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молоді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; </w:t>
      </w:r>
    </w:p>
    <w:p w:rsidR="00A83D39" w:rsidRPr="00A83D39" w:rsidRDefault="00A83D39" w:rsidP="00A83D39">
      <w:pPr>
        <w:shd w:val="clear" w:color="auto" w:fill="FFFFFF" w:themeFill="background1"/>
        <w:spacing w:before="100" w:beforeAutospacing="1" w:after="100" w:afterAutospacing="1" w:line="309" w:lineRule="atLeast"/>
        <w:ind w:left="720" w:right="-51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до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Національної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поліції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України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(за номером 102);</w:t>
      </w:r>
    </w:p>
    <w:p w:rsidR="00A83D39" w:rsidRPr="00A83D39" w:rsidRDefault="00A83D39" w:rsidP="00A83D39">
      <w:pPr>
        <w:shd w:val="clear" w:color="auto" w:fill="FFFFFF" w:themeFill="background1"/>
        <w:spacing w:before="100" w:beforeAutospacing="1" w:after="100" w:afterAutospacing="1" w:line="309" w:lineRule="atLeast"/>
        <w:ind w:left="720" w:right="-51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 xml:space="preserve">на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гарячу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лінію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Центру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надання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безоплатної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правової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допомоги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(за номером 0 800</w:t>
      </w:r>
      <w:proofErr w:type="gram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gram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213 103 –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цілодобово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та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безкоштовно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в межах </w:t>
      </w:r>
      <w:proofErr w:type="spellStart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України</w:t>
      </w:r>
      <w:proofErr w:type="spellEnd"/>
      <w:r w:rsidRPr="00A83D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).</w:t>
      </w:r>
      <w:proofErr w:type="gramEnd"/>
    </w:p>
    <w:p w:rsidR="00040297" w:rsidRDefault="00A83D39" w:rsidP="00A83D39">
      <w:pPr>
        <w:numPr>
          <w:ilvl w:val="0"/>
          <w:numId w:val="5"/>
        </w:numPr>
        <w:pBdr>
          <w:top w:val="single" w:sz="6" w:space="4" w:color="CDCDCD"/>
          <w:left w:val="single" w:sz="6" w:space="4" w:color="CDCDCD"/>
          <w:bottom w:val="single" w:sz="6" w:space="4" w:color="CDCDCD"/>
          <w:right w:val="single" w:sz="6" w:space="4" w:color="CDCDCD"/>
        </w:pBdr>
        <w:shd w:val="clear" w:color="auto" w:fill="FFFFFF"/>
        <w:spacing w:before="100" w:beforeAutospacing="1" w:after="206" w:line="240" w:lineRule="auto"/>
        <w:ind w:left="0" w:right="206"/>
      </w:pPr>
      <w:r>
        <w:rPr>
          <w:rFonts w:ascii="Arial" w:eastAsia="Times New Roman" w:hAnsi="Arial" w:cs="Arial"/>
          <w:noProof/>
          <w:color w:val="894622"/>
          <w:sz w:val="21"/>
          <w:szCs w:val="21"/>
        </w:rPr>
        <w:drawing>
          <wp:inline distT="0" distB="0" distL="0" distR="0">
            <wp:extent cx="1197610" cy="1197610"/>
            <wp:effectExtent l="19050" t="0" r="2540" b="0"/>
            <wp:docPr id="3" name="Рисунок 3" descr="Деякі питання реагування на випадки булінгу (цькування) та застосування заходів виховного впливу в закладах освіти">
              <a:hlinkClick xmlns:a="http://schemas.openxmlformats.org/drawingml/2006/main" r:id="rId6" tooltip="&quot;Постійне посилання на Деякі питання реагування на випадки булінгу (цькування) та застосування заходів виховного впливу в закладах осві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які питання реагування на випадки булінгу (цькування) та застосування заходів виховного впливу в закладах освіти">
                      <a:hlinkClick r:id="rId6" tooltip="&quot;Постійне посилання на Деякі питання реагування на випадки булінгу (цькування) та застосування заходів виховного впливу в закладах осві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D39">
        <w:rPr>
          <w:rFonts w:ascii="Arial" w:eastAsia="Times New Roman" w:hAnsi="Arial" w:cs="Arial"/>
          <w:color w:val="181818"/>
          <w:sz w:val="21"/>
          <w:szCs w:val="21"/>
        </w:rPr>
        <w:br/>
      </w:r>
    </w:p>
    <w:sectPr w:rsidR="00040297" w:rsidSect="00A83D39">
      <w:pgSz w:w="11906" w:h="16838"/>
      <w:pgMar w:top="0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360"/>
    <w:multiLevelType w:val="multilevel"/>
    <w:tmpl w:val="323E0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517E2"/>
    <w:multiLevelType w:val="multilevel"/>
    <w:tmpl w:val="B7D6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D6193"/>
    <w:multiLevelType w:val="multilevel"/>
    <w:tmpl w:val="2CFAB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9E0ADC"/>
    <w:multiLevelType w:val="multilevel"/>
    <w:tmpl w:val="74FC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0B190F"/>
    <w:multiLevelType w:val="multilevel"/>
    <w:tmpl w:val="5EEE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83D39"/>
    <w:rsid w:val="00040297"/>
    <w:rsid w:val="00A8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8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D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83D3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8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83D39"/>
    <w:rPr>
      <w:color w:val="0000FF"/>
      <w:u w:val="single"/>
    </w:rPr>
  </w:style>
  <w:style w:type="character" w:styleId="a5">
    <w:name w:val="Strong"/>
    <w:basedOn w:val="a0"/>
    <w:uiPriority w:val="22"/>
    <w:qFormat/>
    <w:rsid w:val="00A83D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362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73.in.ua/deyaki-pitannya-reaguvannya-na-vipadki-bulingu-ckuvannya-ta-zastosuvannya-zaxodiv-vixovnogo-vplivu-v-zakladax-osvit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733</Words>
  <Characters>4180</Characters>
  <Application>Microsoft Office Word</Application>
  <DocSecurity>0</DocSecurity>
  <Lines>34</Lines>
  <Paragraphs>9</Paragraphs>
  <ScaleCrop>false</ScaleCrop>
  <Company>Microsoft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2020-06-09T09:46:00Z</dcterms:created>
  <dcterms:modified xsi:type="dcterms:W3CDTF">2020-06-09T09:49:00Z</dcterms:modified>
</cp:coreProperties>
</file>