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574F" w:rsidRPr="00BA5381" w:rsidRDefault="0044574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7"/>
        <w:tblW w:w="151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54"/>
        <w:gridCol w:w="6"/>
        <w:gridCol w:w="1979"/>
        <w:gridCol w:w="2126"/>
        <w:gridCol w:w="19"/>
        <w:gridCol w:w="2249"/>
        <w:gridCol w:w="16"/>
        <w:gridCol w:w="2079"/>
      </w:tblGrid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БЕРЕЗЕНЬ</w:t>
            </w:r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Освітнє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середовище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Вимоги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щодо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їх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реалізації</w:t>
            </w:r>
            <w:proofErr w:type="spellEnd"/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Відповідальні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Терміни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узагальнення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34517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Відмітка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Забезпечення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здорових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безпечних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комфортних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умов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праці</w:t>
            </w:r>
            <w:proofErr w:type="spellEnd"/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3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зовнішнього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усунення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факторів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небезпеки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BA5381" w:rsidRDefault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Завгосп</w:t>
            </w:r>
          </w:p>
          <w:p w:rsidR="0044574F" w:rsidRPr="00BA5381" w:rsidRDefault="00345173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  <w:p w:rsidR="0044574F" w:rsidRPr="00BA5381" w:rsidRDefault="0044574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BA5381" w:rsidRPr="00BA5381" w:rsidTr="002753ED">
        <w:tc>
          <w:tcPr>
            <w:tcW w:w="6654" w:type="dxa"/>
          </w:tcPr>
          <w:p w:rsidR="00BA5381" w:rsidRPr="00BA5381" w:rsidRDefault="00BA5381" w:rsidP="00BA53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обрізки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спилювання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сухостоїв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Завгосп</w:t>
            </w:r>
          </w:p>
          <w:p w:rsidR="00BA5381" w:rsidRP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A5381" w:rsidRPr="00BA5381" w:rsidRDefault="00BA5381" w:rsidP="00BA53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BA5381" w:rsidRPr="00BA5381" w:rsidRDefault="00BA5381" w:rsidP="00BA53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Акт</w:t>
            </w:r>
            <w:proofErr w:type="spellEnd"/>
          </w:p>
        </w:tc>
        <w:tc>
          <w:tcPr>
            <w:tcW w:w="2095" w:type="dxa"/>
            <w:gridSpan w:val="2"/>
          </w:tcPr>
          <w:p w:rsidR="00BA5381" w:rsidRPr="00BA5381" w:rsidRDefault="00BA5381" w:rsidP="00BA5381">
            <w:pPr>
              <w:rPr>
                <w:sz w:val="24"/>
                <w:szCs w:val="24"/>
              </w:rPr>
            </w:pPr>
          </w:p>
        </w:tc>
      </w:tr>
      <w:tr w:rsidR="00BA5381" w:rsidRPr="00BA5381" w:rsidTr="002753ED">
        <w:tc>
          <w:tcPr>
            <w:tcW w:w="6654" w:type="dxa"/>
          </w:tcPr>
          <w:p w:rsidR="00BA5381" w:rsidRPr="00BA5381" w:rsidRDefault="00BA5381" w:rsidP="00BA53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якістю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прибирання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двору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попередження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зледеніння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доріжок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Завгосп</w:t>
            </w:r>
          </w:p>
          <w:p w:rsidR="00BA5381" w:rsidRP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A5381" w:rsidRPr="00BA5381" w:rsidRDefault="00BA5381" w:rsidP="00BA5381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BA5381" w:rsidRPr="00BA5381" w:rsidRDefault="00BA5381" w:rsidP="00BA5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  <w:gridSpan w:val="2"/>
          </w:tcPr>
          <w:p w:rsidR="00BA5381" w:rsidRPr="00BA5381" w:rsidRDefault="00BA5381" w:rsidP="00BA5381">
            <w:pPr>
              <w:rPr>
                <w:sz w:val="24"/>
                <w:szCs w:val="24"/>
              </w:rPr>
            </w:pPr>
          </w:p>
        </w:tc>
      </w:tr>
      <w:tr w:rsidR="00BA5381" w:rsidRPr="00BA5381" w:rsidTr="002753ED">
        <w:tc>
          <w:tcPr>
            <w:tcW w:w="6654" w:type="dxa"/>
          </w:tcPr>
          <w:p w:rsidR="00BA5381" w:rsidRPr="00BA5381" w:rsidRDefault="00BA5381" w:rsidP="00BA53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наявність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бурульок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Встановлення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обмежень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пішоходів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руху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небезпечними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ділянками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потреби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85" w:type="dxa"/>
            <w:gridSpan w:val="2"/>
          </w:tcPr>
          <w:p w:rsid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Завгосп</w:t>
            </w:r>
          </w:p>
          <w:p w:rsidR="00BA5381" w:rsidRP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A5381" w:rsidRPr="00BA5381" w:rsidRDefault="00BA5381" w:rsidP="00BA5381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BA5381" w:rsidRPr="00BA5381" w:rsidRDefault="00BA5381" w:rsidP="00BA5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  <w:gridSpan w:val="2"/>
          </w:tcPr>
          <w:p w:rsidR="00BA5381" w:rsidRPr="00BA5381" w:rsidRDefault="00BA5381" w:rsidP="00BA5381">
            <w:pPr>
              <w:rPr>
                <w:sz w:val="24"/>
                <w:szCs w:val="24"/>
              </w:rPr>
            </w:pPr>
          </w:p>
        </w:tc>
      </w:tr>
      <w:tr w:rsidR="00BA5381" w:rsidRPr="00BA5381" w:rsidTr="002753ED">
        <w:tc>
          <w:tcPr>
            <w:tcW w:w="6654" w:type="dxa"/>
          </w:tcPr>
          <w:p w:rsidR="00BA5381" w:rsidRPr="00BA5381" w:rsidRDefault="00BA5381" w:rsidP="00BA538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шляхів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евакуації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Завгосп</w:t>
            </w:r>
          </w:p>
          <w:p w:rsidR="00BA5381" w:rsidRPr="00BA5381" w:rsidRDefault="00BA5381" w:rsidP="00BA5381">
            <w:pPr>
              <w:tabs>
                <w:tab w:val="left" w:pos="1191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:rsidR="00BA5381" w:rsidRPr="00BA5381" w:rsidRDefault="00BA5381" w:rsidP="00BA53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BA5381" w:rsidRPr="00BA5381" w:rsidRDefault="00BA5381" w:rsidP="00BA538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</w:t>
            </w:r>
            <w:proofErr w:type="spellEnd"/>
          </w:p>
        </w:tc>
        <w:tc>
          <w:tcPr>
            <w:tcW w:w="2095" w:type="dxa"/>
            <w:gridSpan w:val="2"/>
          </w:tcPr>
          <w:p w:rsidR="00BA5381" w:rsidRPr="00BA5381" w:rsidRDefault="00BA5381" w:rsidP="00BA5381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санітарно-гігієнічних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вимог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126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поповнення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інвентарю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робіт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ГР</w:t>
            </w:r>
          </w:p>
        </w:tc>
        <w:tc>
          <w:tcPr>
            <w:tcW w:w="2126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Співбесіди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завідуючими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кабінетами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поточного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</w:t>
            </w:r>
            <w:proofErr w:type="spellEnd"/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ГР</w:t>
            </w:r>
          </w:p>
        </w:tc>
        <w:tc>
          <w:tcPr>
            <w:tcW w:w="2126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Бесіди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життєдіяльності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період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льодоходу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Обережно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бурульки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Руйнівні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наслідки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шкідливих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звичок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пожежі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приміщенні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виявленні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запаху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газу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отруєння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Запобігання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отруєнню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чадним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допомога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отруєнні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газом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уникнути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травматизму</w:t>
            </w:r>
            <w:proofErr w:type="spellEnd"/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</w:p>
        </w:tc>
        <w:tc>
          <w:tcPr>
            <w:tcW w:w="2126" w:type="dxa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журнали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інструктажу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БЖД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канікули</w:t>
            </w:r>
            <w:proofErr w:type="spellEnd"/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</w:p>
        </w:tc>
        <w:tc>
          <w:tcPr>
            <w:tcW w:w="2126" w:type="dxa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Журнали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інструктажів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цивільного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захисту</w:t>
            </w:r>
            <w:proofErr w:type="spellEnd"/>
            <w:r w:rsidR="00BA5381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44574F" w:rsidRPr="00BA5381" w:rsidRDefault="003451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Створення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середовища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вільного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від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будь-яких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форм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насильства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white"/>
              </w:rPr>
              <w:t>дискримінації</w:t>
            </w:r>
            <w:proofErr w:type="spellEnd"/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Засідання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учнівського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самоврядування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тему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Робота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учнівського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самоврядування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протидії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булінгу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учнівському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середовищі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».</w:t>
            </w:r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Педагог-організатор</w:t>
            </w:r>
            <w:proofErr w:type="spellEnd"/>
          </w:p>
        </w:tc>
        <w:tc>
          <w:tcPr>
            <w:tcW w:w="2126" w:type="dxa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Інтерактивне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заняття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Кібербулінг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перетворити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?»</w:t>
            </w:r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залученням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інспектор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сектору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ювенальної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превенції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Виноградівського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відділку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поліції</w:t>
            </w:r>
            <w:proofErr w:type="spellEnd"/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Виставка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дитячих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малюнків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очима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дітей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у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рамках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дітям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керівники</w:t>
            </w:r>
            <w:proofErr w:type="spellEnd"/>
          </w:p>
        </w:tc>
        <w:tc>
          <w:tcPr>
            <w:tcW w:w="2126" w:type="dxa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tabs>
                <w:tab w:val="left" w:pos="709"/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Попереджувальний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учнями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перебувають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внутрішкільному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інклюзивного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розвивального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мотивуючого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простору</w:t>
            </w:r>
            <w:proofErr w:type="spellEnd"/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ІІ.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Система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оцінювання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учнів</w:t>
            </w:r>
            <w:proofErr w:type="spellEnd"/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оцінювання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забезпечує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справедливе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неупереджене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об’єктивне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доброчесне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оцінювання</w:t>
            </w:r>
            <w:proofErr w:type="spellEnd"/>
          </w:p>
        </w:tc>
      </w:tr>
      <w:tr w:rsidR="0044574F" w:rsidRPr="00BA5381">
        <w:tc>
          <w:tcPr>
            <w:tcW w:w="15128" w:type="dxa"/>
            <w:gridSpan w:val="8"/>
          </w:tcPr>
          <w:p w:rsidR="0044574F" w:rsidRPr="00BA5381" w:rsidRDefault="003451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Систематичне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відстеження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кожного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надання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йому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потреби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підтримки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процесі</w:t>
            </w:r>
            <w:proofErr w:type="spellEnd"/>
          </w:p>
        </w:tc>
      </w:tr>
      <w:tr w:rsidR="0044574F" w:rsidRPr="00BA5381" w:rsidTr="002753ED">
        <w:tc>
          <w:tcPr>
            <w:tcW w:w="6654" w:type="dxa"/>
          </w:tcPr>
          <w:p w:rsidR="0044574F" w:rsidRPr="00BA5381" w:rsidRDefault="003451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4-х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</w:t>
            </w:r>
          </w:p>
        </w:tc>
        <w:tc>
          <w:tcPr>
            <w:tcW w:w="1985" w:type="dxa"/>
            <w:gridSpan w:val="2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44574F" w:rsidRPr="00BA5381" w:rsidRDefault="00345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44574F" w:rsidRPr="00BA5381" w:rsidRDefault="003451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директору</w:t>
            </w:r>
            <w:proofErr w:type="spellEnd"/>
          </w:p>
        </w:tc>
        <w:tc>
          <w:tcPr>
            <w:tcW w:w="2095" w:type="dxa"/>
            <w:gridSpan w:val="2"/>
          </w:tcPr>
          <w:p w:rsidR="0044574F" w:rsidRPr="00BA5381" w:rsidRDefault="0044574F">
            <w:pPr>
              <w:rPr>
                <w:sz w:val="24"/>
                <w:szCs w:val="24"/>
              </w:rPr>
            </w:pPr>
          </w:p>
        </w:tc>
      </w:tr>
      <w:tr w:rsidR="00902973" w:rsidRPr="00902973" w:rsidTr="002753ED">
        <w:tc>
          <w:tcPr>
            <w:tcW w:w="6654" w:type="dxa"/>
          </w:tcPr>
          <w:p w:rsidR="00902973" w:rsidRPr="00902973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02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Моніторинг стану викладання та рівня навчальних досягнень учнів з громадянської освіти та правознавства </w:t>
            </w:r>
          </w:p>
        </w:tc>
        <w:tc>
          <w:tcPr>
            <w:tcW w:w="1985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02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Директор </w:t>
            </w:r>
          </w:p>
        </w:tc>
        <w:tc>
          <w:tcPr>
            <w:tcW w:w="2126" w:type="dxa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029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Наказ , педрада</w:t>
            </w:r>
          </w:p>
        </w:tc>
        <w:tc>
          <w:tcPr>
            <w:tcW w:w="2095" w:type="dxa"/>
            <w:gridSpan w:val="2"/>
          </w:tcPr>
          <w:p w:rsidR="00902973" w:rsidRPr="00902973" w:rsidRDefault="00902973" w:rsidP="00902973">
            <w:pPr>
              <w:rPr>
                <w:b/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902973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9-х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I-ІІІ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Обстеження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4-х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етапі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переходу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початкової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вивчення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колективів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книзі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Шевченківський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тиждень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Вчителі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1-4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вихователі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ЗДО,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філологи</w:t>
            </w:r>
            <w:proofErr w:type="spellEnd"/>
          </w:p>
        </w:tc>
        <w:tc>
          <w:tcPr>
            <w:tcW w:w="2126" w:type="dxa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03-07 березня 2024</w:t>
            </w:r>
          </w:p>
        </w:tc>
        <w:tc>
          <w:tcPr>
            <w:tcW w:w="2268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,наказ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902973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Тиждень громадянської освіти та правознавства </w:t>
            </w:r>
          </w:p>
        </w:tc>
        <w:tc>
          <w:tcPr>
            <w:tcW w:w="1985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Вчителі  історії та правознавства </w:t>
            </w:r>
          </w:p>
        </w:tc>
        <w:tc>
          <w:tcPr>
            <w:tcW w:w="2126" w:type="dxa"/>
          </w:tcPr>
          <w:p w:rsid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17-21 березня </w:t>
            </w:r>
          </w:p>
        </w:tc>
        <w:tc>
          <w:tcPr>
            <w:tcW w:w="2268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 наказ</w:t>
            </w:r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Тиждень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дитячої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юнацької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книги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Завідувач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бібліотекою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Наказ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Спрямованість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оцінювання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відповідальності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результати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свого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навчання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здатності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самооцінювання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матеріалу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ЗНО</w:t>
            </w:r>
            <w:r w:rsidRPr="00BA5381">
              <w:rPr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Зустріч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представниками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щодо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рівня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освітніх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компетенцій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випускників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11-х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Класно-узагальнюючий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виховної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9-х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ІІІ.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Педагогічна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діяльність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педагогічних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працівників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</w:tc>
      </w:tr>
      <w:tr w:rsidR="00902973" w:rsidRPr="00BA5381" w:rsidTr="002753ED">
        <w:tc>
          <w:tcPr>
            <w:tcW w:w="15128" w:type="dxa"/>
            <w:gridSpan w:val="8"/>
            <w:tcBorders>
              <w:bottom w:val="single" w:sz="4" w:space="0" w:color="auto"/>
            </w:tcBorders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педагогічними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своєї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використання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сучасних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освітніх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підходів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метою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ключових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компетентностей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учнів</w:t>
            </w:r>
            <w:proofErr w:type="spellEnd"/>
          </w:p>
        </w:tc>
      </w:tr>
      <w:tr w:rsidR="002753ED" w:rsidRPr="00BA5381" w:rsidTr="002753ED">
        <w:tc>
          <w:tcPr>
            <w:tcW w:w="666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2753ED" w:rsidRPr="002753ED" w:rsidRDefault="002753ED" w:rsidP="002753E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/>
              </w:rPr>
              <w:t>Чергова атестація  педагогічних працівників</w:t>
            </w:r>
          </w:p>
          <w:p w:rsidR="002753ED" w:rsidRPr="002753ED" w:rsidRDefault="002753ED" w:rsidP="002753E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Григорчук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Любов Михайлівна 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– вчитель  англійської мови</w:t>
            </w:r>
          </w:p>
          <w:p w:rsidR="002753ED" w:rsidRPr="002753ED" w:rsidRDefault="002753ED" w:rsidP="002753E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Копта Тетяна Василівна – 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вчитель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укр.мови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та літератури</w:t>
            </w:r>
          </w:p>
          <w:p w:rsidR="002753ED" w:rsidRPr="002753ED" w:rsidRDefault="002753ED" w:rsidP="002753E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Бюч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Ольга Євгенівна – 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педагог-організатор</w:t>
            </w:r>
          </w:p>
          <w:p w:rsidR="002753ED" w:rsidRPr="002753ED" w:rsidRDefault="002753ED" w:rsidP="002753E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Гевді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Сабіна Андріївна – 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соціальний педагог</w:t>
            </w:r>
          </w:p>
          <w:p w:rsidR="002753ED" w:rsidRPr="002753ED" w:rsidRDefault="002753ED" w:rsidP="002753E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Брила Оксана Василівна- 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вчитель математики, інформатики </w:t>
            </w:r>
            <w:bookmarkStart w:id="0" w:name="_GoBack"/>
            <w:bookmarkEnd w:id="0"/>
          </w:p>
          <w:p w:rsidR="002753ED" w:rsidRPr="002753ED" w:rsidRDefault="002753ED" w:rsidP="002753ED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3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Ісак Анатолій Йосипович -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вчитель фізкультури</w:t>
            </w:r>
          </w:p>
        </w:tc>
        <w:tc>
          <w:tcPr>
            <w:tcW w:w="1979" w:type="dxa"/>
            <w:tcBorders>
              <w:top w:val="single" w:sz="4" w:space="0" w:color="auto"/>
              <w:right w:val="single" w:sz="4" w:space="0" w:color="auto"/>
            </w:tcBorders>
          </w:tcPr>
          <w:p w:rsidR="002753ED" w:rsidRPr="002753ED" w:rsidRDefault="002753ED" w:rsidP="0090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Атестаційна комісія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3ED" w:rsidRPr="002753ED" w:rsidRDefault="002753ED" w:rsidP="0090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ерезень 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3ED" w:rsidRPr="002753ED" w:rsidRDefault="002753ED" w:rsidP="009029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</w:t>
            </w:r>
            <w:r w:rsidRPr="002753E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ротокол АК ,наказ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</w:tcBorders>
          </w:tcPr>
          <w:p w:rsidR="002753ED" w:rsidRPr="002753ED" w:rsidRDefault="002753ED" w:rsidP="0090297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753ED" w:rsidRPr="00BA5381" w:rsidTr="00C93DC6">
        <w:tc>
          <w:tcPr>
            <w:tcW w:w="15128" w:type="dxa"/>
            <w:gridSpan w:val="8"/>
          </w:tcPr>
          <w:p w:rsidR="002753ED" w:rsidRPr="002753ED" w:rsidRDefault="002753ED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Постійне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підвищення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професійного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рівня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педагогічної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майстерності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педагогічних</w:t>
            </w:r>
            <w:proofErr w:type="spellEnd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753E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працівників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Моніторинг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професійного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зростання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902973" w:rsidTr="002753ED">
        <w:tc>
          <w:tcPr>
            <w:tcW w:w="6654" w:type="dxa"/>
          </w:tcPr>
          <w:p w:rsidR="00902973" w:rsidRPr="00902973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Семінар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Інтеграція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інфомедійної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грамотності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процес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викладання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предметів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902973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902973" w:rsidTr="002753ED">
        <w:tc>
          <w:tcPr>
            <w:tcW w:w="6654" w:type="dxa"/>
          </w:tcPr>
          <w:p w:rsidR="00902973" w:rsidRPr="00902973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Круглий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стіл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сучасних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електронних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засобів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навчання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для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профільної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902973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902973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902973" w:rsidRDefault="00902973" w:rsidP="00902973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902973" w:rsidRPr="00902973" w:rsidTr="002753ED">
        <w:tc>
          <w:tcPr>
            <w:tcW w:w="6654" w:type="dxa"/>
          </w:tcPr>
          <w:p w:rsidR="00902973" w:rsidRPr="00902973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Майстер-клас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простір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осередок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вчительського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партнерства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</w:tcPr>
          <w:p w:rsidR="00902973" w:rsidRPr="00902973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902973" w:rsidRDefault="00902973" w:rsidP="00902973">
            <w:pPr>
              <w:rPr>
                <w:sz w:val="24"/>
                <w:szCs w:val="24"/>
              </w:rPr>
            </w:pPr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IV </w:t>
            </w: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902973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902973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902973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Психолого-педагогічний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семінар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Профілактика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стресового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ЗНО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ДПА»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Налагодження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співпраці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учнями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їх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батьками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освіти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5"/>
                <w:tab w:val="left" w:pos="535"/>
                <w:tab w:val="left" w:pos="738"/>
              </w:tabs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шкільних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об'єднань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: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Обговорення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поширення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передового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досвіду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засідань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Засідання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методичного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об’єднання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керівників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засідань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Індивідуальні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Безпечний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інтернет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розуміння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негативного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впливу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користування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ґаджетами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декади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вчителя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ind w:left="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Місячник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профорієнтаційної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902973" w:rsidRPr="00BA5381" w:rsidRDefault="00902973" w:rsidP="00902973">
            <w:pPr>
              <w:ind w:left="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а)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виховні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»;</w:t>
            </w:r>
          </w:p>
          <w:p w:rsidR="00902973" w:rsidRPr="00BA5381" w:rsidRDefault="00902973" w:rsidP="00902973">
            <w:pPr>
              <w:ind w:left="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б)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відеолекторій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Знайомимося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професіями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»;</w:t>
            </w:r>
          </w:p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в)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виховні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години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Держава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потребує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професіоналів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Інформація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сайті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Ярмарка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професій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зустріч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представниками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ВНЗ, ПТНЗ,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зайнятості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Святкування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Міжнародного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жіночого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Концерт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Милих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жінок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вітаємо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Сценарій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свята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ind w:left="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батьків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першокласників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психологічного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сім’ї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запорука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подальшої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успішності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дитини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Рекомендації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засадах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академічної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доброчесності</w:t>
            </w:r>
            <w:proofErr w:type="spellEnd"/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ІV.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Управлінські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процеси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Наявність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стратегії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розвитку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системи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планування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моніторинг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виконання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поставлених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завдань</w:t>
            </w:r>
            <w:proofErr w:type="spellEnd"/>
          </w:p>
        </w:tc>
      </w:tr>
      <w:tr w:rsidR="005E0784" w:rsidRPr="005E0784" w:rsidTr="002753ED">
        <w:tc>
          <w:tcPr>
            <w:tcW w:w="6654" w:type="dxa"/>
          </w:tcPr>
          <w:p w:rsidR="005E0784" w:rsidRPr="005E0784" w:rsidRDefault="005E0784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5E0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Педрада </w:t>
            </w:r>
          </w:p>
          <w:p w:rsidR="005E0784" w:rsidRPr="002500B6" w:rsidRDefault="005E0784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0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1.Виконання  рішень попередньої педради.</w:t>
            </w:r>
          </w:p>
          <w:p w:rsidR="005E0784" w:rsidRPr="002500B6" w:rsidRDefault="005E0784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0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2.Про стан впровадження формувального оцінювання  в освітній  процес</w:t>
            </w:r>
            <w:r w:rsidR="002500B6" w:rsidRPr="00250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освітнього закладу.</w:t>
            </w:r>
          </w:p>
          <w:p w:rsidR="005E0784" w:rsidRPr="002500B6" w:rsidRDefault="005E0784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50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3.Творчий звіт вчителів ,які атестуються .</w:t>
            </w:r>
          </w:p>
          <w:p w:rsidR="005E0784" w:rsidRPr="005E0784" w:rsidRDefault="005E0784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</w:pPr>
            <w:r w:rsidRPr="002500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>4. Різне.</w:t>
            </w:r>
            <w:r w:rsidRPr="005E078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/>
              </w:rPr>
              <w:t xml:space="preserve">    </w:t>
            </w:r>
          </w:p>
        </w:tc>
        <w:tc>
          <w:tcPr>
            <w:tcW w:w="1985" w:type="dxa"/>
            <w:gridSpan w:val="2"/>
          </w:tcPr>
          <w:p w:rsidR="005E0784" w:rsidRPr="005E0784" w:rsidRDefault="005E0784" w:rsidP="0090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0784" w:rsidRPr="005E0784" w:rsidRDefault="005E0784" w:rsidP="0090297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  <w:p w:rsidR="005E0784" w:rsidRPr="005E0784" w:rsidRDefault="005E0784" w:rsidP="0090297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ЗДНВР</w:t>
            </w:r>
          </w:p>
          <w:p w:rsidR="005E0784" w:rsidRDefault="005E0784" w:rsidP="0090297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E078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Директор</w:t>
            </w:r>
          </w:p>
          <w:p w:rsidR="002500B6" w:rsidRPr="005E0784" w:rsidRDefault="002500B6" w:rsidP="0090297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Вчителі </w:t>
            </w:r>
          </w:p>
        </w:tc>
        <w:tc>
          <w:tcPr>
            <w:tcW w:w="2126" w:type="dxa"/>
          </w:tcPr>
          <w:p w:rsidR="005E0784" w:rsidRPr="005E0784" w:rsidRDefault="005E0784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5E07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ІІІ  тиждень </w:t>
            </w:r>
          </w:p>
        </w:tc>
        <w:tc>
          <w:tcPr>
            <w:tcW w:w="2268" w:type="dxa"/>
            <w:gridSpan w:val="2"/>
          </w:tcPr>
          <w:p w:rsidR="005E0784" w:rsidRPr="005E0784" w:rsidRDefault="005E0784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5E078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Протокол, наказ</w:t>
            </w:r>
          </w:p>
        </w:tc>
        <w:tc>
          <w:tcPr>
            <w:tcW w:w="2095" w:type="dxa"/>
            <w:gridSpan w:val="2"/>
          </w:tcPr>
          <w:p w:rsidR="005E0784" w:rsidRPr="005E0784" w:rsidRDefault="005E0784" w:rsidP="009029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Наради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директору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:</w:t>
            </w:r>
          </w:p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організацію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весняних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канікул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</w:t>
            </w:r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території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02973" w:rsidRPr="00BA5381" w:rsidRDefault="00902973" w:rsidP="009029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"/>
                <w:tab w:val="left" w:pos="6946"/>
                <w:tab w:val="left" w:pos="7088"/>
              </w:tabs>
              <w:spacing w:line="259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підготовку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учнів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4-х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класів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ДПА;</w:t>
            </w:r>
          </w:p>
          <w:p w:rsidR="00902973" w:rsidRPr="00BA5381" w:rsidRDefault="00902973" w:rsidP="009029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"/>
                <w:tab w:val="left" w:pos="6946"/>
                <w:tab w:val="left" w:pos="7088"/>
              </w:tabs>
              <w:spacing w:line="259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дотримання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санітарно-гігієнічних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вимог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02973" w:rsidRPr="00BA5381" w:rsidRDefault="00902973" w:rsidP="0090297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"/>
                <w:tab w:val="left" w:pos="6946"/>
                <w:tab w:val="left" w:pos="7088"/>
              </w:tabs>
              <w:spacing w:after="160" w:line="259" w:lineRule="auto"/>
              <w:ind w:left="0" w:firstLine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шляхів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евакуації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202</w:t>
            </w:r>
            <w:r w:rsidR="003451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-202</w:t>
            </w:r>
            <w:r w:rsidR="00345173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навчальному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році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ЗВР</w:t>
            </w: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ЗДАГР</w:t>
            </w: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ЗНВР</w:t>
            </w: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Сестра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медична</w:t>
            </w:r>
            <w:proofErr w:type="spellEnd"/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ЗДАГР</w:t>
            </w:r>
          </w:p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ЗДНВР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  <w:tab w:val="left" w:pos="6946"/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Інструктивно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методична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нарада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ДПА в 4, 9, 11-х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класах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наради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Аналіз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класних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профілактики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пропусків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учнями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</w:t>
            </w:r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відносин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довіри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прозорості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дотримання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етичних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норм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Випуск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інформаційного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бюлетеня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Вісник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атестації</w:t>
            </w:r>
            <w:proofErr w:type="spellEnd"/>
            <w:proofErr w:type="gram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Заступник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НВР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Бюлетень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Звіт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надходження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використання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коштів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лютий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10.03</w:t>
            </w:r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сайті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Ефективність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кадрової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політики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забезпечення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можливостей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для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професійного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розвитку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педагогічних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працівників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довідок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атестуються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I, 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тижні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Довідки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вчителів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атестуються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ознайомлення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атестаційними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претендують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присвоєння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вищої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кваліфікаційної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або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її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присвоєння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відділі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освіти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Керівництво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школи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01.04</w:t>
            </w:r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листи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Підготовка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нагородження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атестації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01.04.</w:t>
            </w:r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Клопотання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Підведення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підсумків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атестації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Наказ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Організація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засадах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людиноцентризму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прийняття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управлінських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рішень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основі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конструктивної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співпраці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учасників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освітнього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процесу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взаємодії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закладу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освіти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місцевою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громадою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Тиждень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сім’ї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gjdgxs" w:colFirst="0" w:colLast="0"/>
            <w:bookmarkEnd w:id="1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ЗДВР</w:t>
            </w:r>
          </w:p>
        </w:tc>
        <w:tc>
          <w:tcPr>
            <w:tcW w:w="2126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IV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заходів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b/>
                <w:sz w:val="24"/>
                <w:szCs w:val="24"/>
              </w:rPr>
            </w:pPr>
          </w:p>
        </w:tc>
      </w:tr>
      <w:tr w:rsidR="00902973" w:rsidRPr="00BA5381">
        <w:tc>
          <w:tcPr>
            <w:tcW w:w="15128" w:type="dxa"/>
            <w:gridSpan w:val="8"/>
          </w:tcPr>
          <w:p w:rsidR="00902973" w:rsidRPr="00BA5381" w:rsidRDefault="00902973" w:rsidP="00902973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Формування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забезпечення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реалізації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політики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академічної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доброчесності</w:t>
            </w:r>
            <w:proofErr w:type="spellEnd"/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Розгляд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дотримання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академічної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доброчесності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педагогічними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працівниками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атестуються</w:t>
            </w:r>
            <w:proofErr w:type="spellEnd"/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тиждень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Протоколи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засідань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атестаційної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комісії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  <w:tr w:rsidR="00902973" w:rsidRPr="00BA5381" w:rsidTr="002753ED">
        <w:tc>
          <w:tcPr>
            <w:tcW w:w="6654" w:type="dxa"/>
          </w:tcPr>
          <w:p w:rsidR="00902973" w:rsidRPr="00BA5381" w:rsidRDefault="00902973" w:rsidP="00902973">
            <w:pPr>
              <w:tabs>
                <w:tab w:val="left" w:pos="342"/>
                <w:tab w:val="left" w:pos="489"/>
                <w:tab w:val="left" w:pos="1134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Моніторинг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«Я і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академічна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доброчесність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</w:tcPr>
          <w:p w:rsidR="00902973" w:rsidRPr="00BA5381" w:rsidRDefault="00902973" w:rsidP="009029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Практичний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</w:t>
            </w:r>
            <w:proofErr w:type="spellEnd"/>
          </w:p>
        </w:tc>
        <w:tc>
          <w:tcPr>
            <w:tcW w:w="2126" w:type="dxa"/>
          </w:tcPr>
          <w:p w:rsidR="00902973" w:rsidRPr="00BA5381" w:rsidRDefault="00902973" w:rsidP="0090297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Протягом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sz w:val="24"/>
                <w:szCs w:val="24"/>
              </w:rPr>
              <w:t>місяця</w:t>
            </w:r>
            <w:proofErr w:type="spellEnd"/>
          </w:p>
        </w:tc>
        <w:tc>
          <w:tcPr>
            <w:tcW w:w="2268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Дані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Google-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опитування</w:t>
            </w:r>
            <w:proofErr w:type="spellEnd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3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школярів</w:t>
            </w:r>
            <w:proofErr w:type="spellEnd"/>
          </w:p>
        </w:tc>
        <w:tc>
          <w:tcPr>
            <w:tcW w:w="2095" w:type="dxa"/>
            <w:gridSpan w:val="2"/>
          </w:tcPr>
          <w:p w:rsidR="00902973" w:rsidRPr="00BA5381" w:rsidRDefault="00902973" w:rsidP="00902973">
            <w:pPr>
              <w:rPr>
                <w:sz w:val="24"/>
                <w:szCs w:val="24"/>
              </w:rPr>
            </w:pPr>
          </w:p>
        </w:tc>
      </w:tr>
    </w:tbl>
    <w:p w:rsidR="0044574F" w:rsidRPr="00BA5381" w:rsidRDefault="0044574F">
      <w:pPr>
        <w:rPr>
          <w:sz w:val="24"/>
          <w:szCs w:val="24"/>
        </w:rPr>
      </w:pPr>
    </w:p>
    <w:sectPr w:rsidR="0044574F" w:rsidRPr="00BA5381" w:rsidSect="00BA5381">
      <w:pgSz w:w="16838" w:h="11906" w:orient="landscape"/>
      <w:pgMar w:top="426" w:right="850" w:bottom="850" w:left="85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5FA0"/>
    <w:multiLevelType w:val="hybridMultilevel"/>
    <w:tmpl w:val="364C9424"/>
    <w:lvl w:ilvl="0" w:tplc="8662E6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ED6990"/>
    <w:multiLevelType w:val="multilevel"/>
    <w:tmpl w:val="EAC416C4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74F"/>
    <w:rsid w:val="002500B6"/>
    <w:rsid w:val="002753ED"/>
    <w:rsid w:val="00345173"/>
    <w:rsid w:val="0044574F"/>
    <w:rsid w:val="005E0784"/>
    <w:rsid w:val="00902973"/>
    <w:rsid w:val="00BA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5D571"/>
  <w15:docId w15:val="{B877D812-E65E-4C1C-94AE-5A4426362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6344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F673F"/>
    <w:pPr>
      <w:ind w:left="720"/>
      <w:contextualSpacing/>
    </w:pPr>
  </w:style>
  <w:style w:type="paragraph" w:styleId="a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1RrJNslPec8ITXWBrN7Pp5KdFQ==">CgMxLjAyCGguZ2pkZ3hzOAByITFRMk9qd1I1Mjh4ZHZMdmxYU09Eb0J2bk44RWtEZlhmZw==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FB94B38-D0F3-4BEA-98D8-A49F6A200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6605</Words>
  <Characters>3765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Артас</dc:creator>
  <cp:lastModifiedBy>Miklós Grigoryák</cp:lastModifiedBy>
  <cp:revision>6</cp:revision>
  <dcterms:created xsi:type="dcterms:W3CDTF">2023-08-15T14:50:00Z</dcterms:created>
  <dcterms:modified xsi:type="dcterms:W3CDTF">2024-08-30T06:24:00Z</dcterms:modified>
</cp:coreProperties>
</file>